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10" w:lineRule="exact"/>
        <w:ind w:firstLine="640" w:firstLineChars="200"/>
        <w:jc w:val="center"/>
        <w:rPr>
          <w:rFonts w:hint="eastAsia" w:ascii="黑体" w:hAnsi="黑体" w:eastAsia="黑体" w:cs="黑体"/>
          <w:bCs/>
          <w:sz w:val="32"/>
          <w:szCs w:val="32"/>
          <w:lang w:eastAsia="zh-CN"/>
        </w:rPr>
      </w:pPr>
      <w:bookmarkStart w:id="0" w:name="_GoBack"/>
      <w:r>
        <w:rPr>
          <w:rFonts w:hint="eastAsia" w:ascii="黑体" w:hAnsi="黑体" w:eastAsia="黑体" w:cs="黑体"/>
          <w:bCs/>
          <w:sz w:val="32"/>
          <w:szCs w:val="32"/>
          <w:lang w:eastAsia="zh-CN"/>
        </w:rPr>
        <w:t>2018年度“市县地方地震应急补助经费”项目</w:t>
      </w:r>
    </w:p>
    <w:bookmarkEnd w:id="0"/>
    <w:p>
      <w:pPr>
        <w:spacing w:line="610" w:lineRule="exact"/>
        <w:ind w:firstLine="640" w:firstLineChars="200"/>
        <w:jc w:val="center"/>
        <w:rPr>
          <w:rFonts w:hint="eastAsia" w:ascii="黑体" w:hAnsi="黑体" w:eastAsia="黑体" w:cs="黑体"/>
          <w:bCs/>
          <w:sz w:val="18"/>
          <w:szCs w:val="18"/>
          <w:lang w:eastAsia="zh-CN"/>
        </w:rPr>
      </w:pPr>
      <w:r>
        <w:rPr>
          <w:rFonts w:hint="eastAsia" w:ascii="黑体" w:hAnsi="黑体" w:eastAsia="黑体" w:cs="黑体"/>
          <w:bCs/>
          <w:sz w:val="32"/>
          <w:szCs w:val="32"/>
          <w:lang w:eastAsia="zh-CN"/>
        </w:rPr>
        <w:t>绩效自评表</w:t>
      </w:r>
    </w:p>
    <w:p>
      <w:pPr>
        <w:widowControl/>
        <w:jc w:val="left"/>
        <w:rPr>
          <w:rFonts w:hint="eastAsia" w:ascii="黑体" w:hAnsi="黑体" w:eastAsia="黑体" w:cs="黑体"/>
          <w:bCs/>
          <w:sz w:val="32"/>
          <w:szCs w:val="32"/>
          <w:lang w:eastAsia="zh-CN"/>
        </w:rPr>
      </w:pPr>
      <w:r>
        <w:rPr>
          <w:rFonts w:hint="eastAsia" w:ascii="楷体_GB2312" w:hAnsi="宋体" w:eastAsia="楷体_GB2312" w:cs="宋体"/>
          <w:kern w:val="0"/>
          <w:sz w:val="24"/>
          <w:szCs w:val="20"/>
        </w:rPr>
        <w:t>填报日期：</w:t>
      </w:r>
      <w:r>
        <w:rPr>
          <w:rFonts w:hint="eastAsia" w:ascii="楷体_GB2312" w:hAnsi="宋体" w:eastAsia="楷体_GB2312" w:cs="宋体"/>
          <w:kern w:val="0"/>
          <w:sz w:val="24"/>
          <w:szCs w:val="20"/>
          <w:lang w:val="en-US" w:eastAsia="zh-CN"/>
        </w:rPr>
        <w:t>2019年5月19日</w:t>
      </w:r>
      <w:r>
        <w:rPr>
          <w:rFonts w:ascii="楷体_GB2312" w:hAnsi="宋体" w:eastAsia="楷体_GB2312" w:cs="宋体"/>
          <w:kern w:val="0"/>
          <w:sz w:val="24"/>
          <w:szCs w:val="20"/>
        </w:rPr>
        <w:tab/>
      </w:r>
      <w:r>
        <w:rPr>
          <w:rFonts w:ascii="楷体_GB2312" w:hAnsi="宋体" w:eastAsia="楷体_GB2312" w:cs="宋体"/>
          <w:kern w:val="0"/>
          <w:sz w:val="24"/>
          <w:szCs w:val="20"/>
        </w:rPr>
        <w:tab/>
      </w:r>
      <w:r>
        <w:rPr>
          <w:rFonts w:ascii="楷体_GB2312" w:hAnsi="宋体" w:eastAsia="楷体_GB2312" w:cs="宋体"/>
          <w:kern w:val="0"/>
          <w:sz w:val="24"/>
          <w:szCs w:val="20"/>
        </w:rPr>
        <w:tab/>
      </w:r>
      <w:r>
        <w:rPr>
          <w:rFonts w:ascii="楷体_GB2312" w:hAnsi="宋体" w:eastAsia="楷体_GB2312" w:cs="宋体"/>
          <w:kern w:val="0"/>
          <w:sz w:val="24"/>
          <w:szCs w:val="20"/>
        </w:rPr>
        <w:tab/>
      </w:r>
      <w:r>
        <w:rPr>
          <w:rFonts w:ascii="楷体_GB2312" w:hAnsi="宋体" w:eastAsia="楷体_GB2312" w:cs="宋体"/>
          <w:kern w:val="0"/>
          <w:sz w:val="24"/>
          <w:szCs w:val="20"/>
        </w:rPr>
        <w:tab/>
      </w:r>
      <w:r>
        <w:rPr>
          <w:rFonts w:ascii="楷体_GB2312" w:hAnsi="宋体" w:eastAsia="楷体_GB2312" w:cs="宋体"/>
          <w:kern w:val="0"/>
          <w:sz w:val="24"/>
          <w:szCs w:val="20"/>
        </w:rPr>
        <w:tab/>
      </w:r>
      <w:r>
        <w:rPr>
          <w:rFonts w:ascii="楷体_GB2312" w:hAnsi="宋体" w:eastAsia="楷体_GB2312" w:cs="宋体"/>
          <w:kern w:val="0"/>
          <w:sz w:val="24"/>
          <w:szCs w:val="20"/>
        </w:rPr>
        <w:tab/>
      </w:r>
      <w:r>
        <w:rPr>
          <w:rFonts w:ascii="楷体_GB2312" w:hAnsi="宋体" w:eastAsia="楷体_GB2312" w:cs="宋体"/>
          <w:kern w:val="0"/>
          <w:sz w:val="24"/>
          <w:szCs w:val="20"/>
        </w:rPr>
        <w:tab/>
      </w:r>
      <w:r>
        <w:rPr>
          <w:rFonts w:ascii="楷体_GB2312" w:hAnsi="宋体" w:eastAsia="楷体_GB2312" w:cs="宋体"/>
          <w:kern w:val="0"/>
          <w:sz w:val="24"/>
          <w:szCs w:val="20"/>
        </w:rPr>
        <w:tab/>
      </w:r>
      <w:r>
        <w:rPr>
          <w:rFonts w:hint="eastAsia" w:ascii="楷体_GB2312" w:hAnsi="宋体" w:eastAsia="楷体_GB2312" w:cs="宋体"/>
          <w:kern w:val="0"/>
          <w:sz w:val="24"/>
          <w:szCs w:val="20"/>
          <w:lang w:val="en-US" w:eastAsia="zh-CN"/>
        </w:rPr>
        <w:t xml:space="preserve">  </w:t>
      </w:r>
      <w:r>
        <w:rPr>
          <w:rFonts w:hint="eastAsia" w:ascii="楷体_GB2312" w:hAnsi="宋体" w:eastAsia="楷体_GB2312" w:cs="宋体"/>
          <w:kern w:val="0"/>
          <w:sz w:val="24"/>
          <w:szCs w:val="20"/>
        </w:rPr>
        <w:t>总分：</w:t>
      </w:r>
      <w:r>
        <w:rPr>
          <w:rFonts w:hint="eastAsia" w:ascii="楷体_GB2312" w:hAnsi="宋体" w:eastAsia="楷体_GB2312" w:cs="宋体"/>
          <w:kern w:val="0"/>
          <w:sz w:val="24"/>
          <w:szCs w:val="20"/>
          <w:lang w:val="en-US" w:eastAsia="zh-CN"/>
        </w:rPr>
        <w:t>100分</w:t>
      </w:r>
    </w:p>
    <w:tbl>
      <w:tblPr>
        <w:tblStyle w:val="2"/>
        <w:tblW w:w="864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7560" w:type="dxa"/>
            <w:gridSpan w:val="7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市县地方地震应急补助经费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湖北省地震局本级</w:t>
            </w:r>
          </w:p>
        </w:tc>
        <w:tc>
          <w:tcPr>
            <w:tcW w:w="2160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项目实施单位</w:t>
            </w:r>
          </w:p>
        </w:tc>
        <w:tc>
          <w:tcPr>
            <w:tcW w:w="2160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湖北省地震局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项目类别</w:t>
            </w:r>
          </w:p>
        </w:tc>
        <w:tc>
          <w:tcPr>
            <w:tcW w:w="7560" w:type="dxa"/>
            <w:gridSpan w:val="7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1、部门预算项目   □   2、省直专项   </w:t>
            </w:r>
            <w:r>
              <w:rPr>
                <w:rStyle w:val="4"/>
                <w:lang w:val="en-US" w:eastAsia="zh-CN" w:bidi="ar"/>
              </w:rPr>
              <w:t xml:space="preserve">□  </w:t>
            </w:r>
            <w:r>
              <w:rPr>
                <w:rStyle w:val="5"/>
                <w:rFonts w:hAnsi="宋体"/>
                <w:lang w:val="en-US" w:eastAsia="zh-CN" w:bidi="ar"/>
              </w:rPr>
              <w:t xml:space="preserve">3、省对下转移支付项目 </w:t>
            </w:r>
            <w:r>
              <w:rPr>
                <w:rFonts w:ascii="Wingdings 2" w:hAnsi="Wingdings 2" w:eastAsia="Wingdings 2" w:cs="Wingdings 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R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项目属性</w:t>
            </w:r>
          </w:p>
        </w:tc>
        <w:tc>
          <w:tcPr>
            <w:tcW w:w="7560" w:type="dxa"/>
            <w:gridSpan w:val="7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1、持续性项目     </w:t>
            </w:r>
            <w:r>
              <w:rPr>
                <w:rFonts w:ascii="Wingdings 2" w:hAnsi="Wingdings 2" w:eastAsia="Wingdings 2" w:cs="Wingdings 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R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2、新增性项目 </w:t>
            </w:r>
            <w:r>
              <w:rPr>
                <w:rStyle w:val="6"/>
                <w:lang w:val="en-US" w:eastAsia="zh-CN" w:bidi="ar"/>
              </w:rPr>
              <w:t>□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项目类型</w:t>
            </w:r>
          </w:p>
        </w:tc>
        <w:tc>
          <w:tcPr>
            <w:tcW w:w="7560" w:type="dxa"/>
            <w:gridSpan w:val="7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1、常年性项目     □   2、延续性项目 </w:t>
            </w:r>
            <w:r>
              <w:rPr>
                <w:rStyle w:val="4"/>
                <w:lang w:val="en-US" w:eastAsia="zh-CN" w:bidi="ar"/>
              </w:rPr>
              <w:t xml:space="preserve">□      </w:t>
            </w:r>
            <w:r>
              <w:rPr>
                <w:rStyle w:val="5"/>
                <w:rFonts w:hAnsi="宋体"/>
                <w:lang w:val="en-US" w:eastAsia="zh-CN" w:bidi="ar"/>
              </w:rPr>
              <w:t xml:space="preserve">3、一次性项目   </w:t>
            </w:r>
            <w:r>
              <w:rPr>
                <w:rFonts w:ascii="Wingdings 2" w:hAnsi="Wingdings 2" w:eastAsia="Wingdings 2" w:cs="Wingdings 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R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预算执行情况（万元）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预算数（A)</w:t>
            </w:r>
          </w:p>
        </w:tc>
        <w:tc>
          <w:tcPr>
            <w:tcW w:w="2160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执行数(B)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执行率(B/A)</w:t>
            </w:r>
          </w:p>
        </w:tc>
        <w:tc>
          <w:tcPr>
            <w:tcW w:w="2160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得分（20分*执行率）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（20分）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年度财政资金总额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65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65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100%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一级指标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二级指标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三级指标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年初目标值（A)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实际完成值(B)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得分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8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产出指标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数量指标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区域拉动演练次数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质量指标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年度地震突发事件处置率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时效标准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处置地震时间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及时有效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及时有效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效益指标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社会效益指标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地震事件对社会秩序影响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最小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最小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8640" w:type="dxa"/>
            <w:gridSpan w:val="8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1.预算执行情况口径：预算数为调整后财政资金总额（包括上年结余结转），执行数为资金使用单位财政资金实际支出数。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8640" w:type="dxa"/>
            <w:gridSpan w:val="8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2.定量指标完成数汇总原则：绝对值直接累加计算，相对值按照资金额度加权平均计算。定量指标计分原则：正向指标（即目标值为</w:t>
            </w:r>
            <w:r>
              <w:rPr>
                <w:rStyle w:val="4"/>
                <w:lang w:val="en-US" w:eastAsia="zh-CN" w:bidi="ar"/>
              </w:rPr>
              <w:t>≥</w:t>
            </w:r>
            <w:r>
              <w:rPr>
                <w:rStyle w:val="5"/>
                <w:rFonts w:hAnsi="宋体"/>
                <w:lang w:val="en-US" w:eastAsia="zh-CN" w:bidi="ar"/>
              </w:rPr>
              <w:t>X,得分=权重*B/A），反向指标（即目标值为</w:t>
            </w:r>
            <w:r>
              <w:rPr>
                <w:rStyle w:val="4"/>
                <w:lang w:val="en-US" w:eastAsia="zh-CN" w:bidi="ar"/>
              </w:rPr>
              <w:t>≤</w:t>
            </w:r>
            <w:r>
              <w:rPr>
                <w:rStyle w:val="5"/>
                <w:rFonts w:hAnsi="宋体"/>
                <w:lang w:val="en-US" w:eastAsia="zh-CN" w:bidi="ar"/>
              </w:rPr>
              <w:t>X，得分=权重*A/B)，得分不得突破权重总额。定量指标先汇总完成数，再计算得分。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8640" w:type="dxa"/>
            <w:gridSpan w:val="8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定性指标计分原则：达成预期指标、部分达成预期指标并具有一定效果、未达成预期指标且效果较差三档，分别按照该指标对应分值区间100-80%（含80%）、80-50%（含50%）、50-0%合理确定分值。汇总时，以资金额度为权重，对分值进行加权平均计算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8640" w:type="dxa"/>
            <w:gridSpan w:val="8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4.基于经济性和必要性等因素考虑，满意度指标暂可不作为必评指标。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D99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31"/>
    <w:basedOn w:val="3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5">
    <w:name w:val="font51"/>
    <w:basedOn w:val="3"/>
    <w:qFormat/>
    <w:uiPriority w:val="0"/>
    <w:rPr>
      <w:rFonts w:hint="default" w:ascii="仿宋_GB2312" w:eastAsia="仿宋_GB2312" w:cs="仿宋_GB2312"/>
      <w:color w:val="000000"/>
      <w:sz w:val="21"/>
      <w:szCs w:val="21"/>
      <w:u w:val="none"/>
    </w:rPr>
  </w:style>
  <w:style w:type="character" w:customStyle="1" w:styleId="6">
    <w:name w:val="font21"/>
    <w:basedOn w:val="3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2019-08-15T09:24:13Z</dcterms:created>
  <dc:creator>hedia</dc:creator>
  <cp:lastModifiedBy>hedia</cp:lastModifiedBy>
  <dcterms:modified xsi:type="dcterms:W3CDTF">2019-08-15T09:24:29Z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2052-11.1.0.8907</vt:lpwstr>
  </property>
</Properties>
</file>