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jc w:val="center"/>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2018年度“省管地震科普教育基</w:t>
      </w:r>
      <w:bookmarkStart w:id="0" w:name="_GoBack"/>
      <w:bookmarkEnd w:id="0"/>
      <w:r>
        <w:rPr>
          <w:rFonts w:hint="eastAsia" w:ascii="黑体" w:hAnsi="黑体" w:eastAsia="黑体" w:cs="黑体"/>
          <w:bCs/>
          <w:sz w:val="32"/>
          <w:szCs w:val="32"/>
          <w:lang w:eastAsia="zh-CN"/>
        </w:rPr>
        <w:t>地运行维护经费”项目绩效自评表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bCs/>
          <w:sz w:val="32"/>
          <w:szCs w:val="32"/>
          <w:lang w:eastAsia="zh-CN"/>
        </w:rPr>
      </w:pPr>
      <w:r>
        <w:rPr>
          <w:rFonts w:hint="eastAsia" w:ascii="楷体_GB2312" w:hAnsi="宋体" w:eastAsia="楷体_GB2312" w:cs="宋体"/>
          <w:kern w:val="0"/>
          <w:sz w:val="24"/>
          <w:szCs w:val="20"/>
        </w:rPr>
        <w:t>填报日期：</w:t>
      </w:r>
      <w:r>
        <w:rPr>
          <w:rFonts w:hint="eastAsia" w:ascii="楷体_GB2312" w:hAnsi="宋体" w:eastAsia="楷体_GB2312" w:cs="宋体"/>
          <w:kern w:val="0"/>
          <w:sz w:val="24"/>
          <w:szCs w:val="20"/>
          <w:lang w:val="en-US" w:eastAsia="zh-CN"/>
        </w:rPr>
        <w:t>2019年5月19日</w:t>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ascii="楷体_GB2312" w:hAnsi="宋体" w:eastAsia="楷体_GB2312" w:cs="宋体"/>
          <w:kern w:val="0"/>
          <w:sz w:val="24"/>
          <w:szCs w:val="20"/>
        </w:rPr>
        <w:tab/>
      </w:r>
      <w:r>
        <w:rPr>
          <w:rFonts w:hint="eastAsia" w:ascii="楷体_GB2312" w:hAnsi="宋体" w:eastAsia="楷体_GB2312" w:cs="宋体"/>
          <w:kern w:val="0"/>
          <w:sz w:val="24"/>
          <w:szCs w:val="20"/>
          <w:lang w:val="en-US" w:eastAsia="zh-CN"/>
        </w:rPr>
        <w:t xml:space="preserve">  </w:t>
      </w:r>
      <w:r>
        <w:rPr>
          <w:rFonts w:hint="eastAsia" w:ascii="楷体_GB2312" w:hAnsi="宋体" w:eastAsia="楷体_GB2312" w:cs="宋体"/>
          <w:kern w:val="0"/>
          <w:sz w:val="24"/>
          <w:szCs w:val="20"/>
        </w:rPr>
        <w:t>总分：</w:t>
      </w:r>
      <w:r>
        <w:rPr>
          <w:rFonts w:hint="eastAsia" w:ascii="楷体_GB2312" w:hAnsi="宋体" w:eastAsia="楷体_GB2312" w:cs="宋体"/>
          <w:kern w:val="0"/>
          <w:sz w:val="24"/>
          <w:szCs w:val="20"/>
          <w:lang w:val="en-US" w:eastAsia="zh-CN"/>
        </w:rPr>
        <w:t>100分</w:t>
      </w:r>
    </w:p>
    <w:tbl>
      <w:tblPr>
        <w:tblStyle w:val="2"/>
        <w:tblpPr w:leftFromText="180" w:rightFromText="180" w:vertAnchor="text" w:horzAnchor="page" w:tblpX="1531" w:tblpY="291"/>
        <w:tblOverlap w:val="never"/>
        <w:tblW w:w="8904" w:type="dxa"/>
        <w:tblInd w:w="0" w:type="dxa"/>
        <w:shd w:val="clear" w:color="auto" w:fill="auto"/>
        <w:tblLayout w:type="fixed"/>
        <w:tblCellMar>
          <w:top w:w="0" w:type="dxa"/>
          <w:left w:w="0" w:type="dxa"/>
          <w:bottom w:w="0" w:type="dxa"/>
          <w:right w:w="0" w:type="dxa"/>
        </w:tblCellMar>
      </w:tblPr>
      <w:tblGrid>
        <w:gridCol w:w="1095"/>
        <w:gridCol w:w="930"/>
        <w:gridCol w:w="1479"/>
        <w:gridCol w:w="1080"/>
        <w:gridCol w:w="1623"/>
        <w:gridCol w:w="1617"/>
        <w:gridCol w:w="1080"/>
      </w:tblGrid>
      <w:tr>
        <w:tblPrEx>
          <w:tblLayout w:type="fixed"/>
          <w:tblCellMar>
            <w:top w:w="0" w:type="dxa"/>
            <w:left w:w="0" w:type="dxa"/>
            <w:bottom w:w="0" w:type="dxa"/>
            <w:right w:w="0" w:type="dxa"/>
          </w:tblCellMar>
        </w:tblPrEx>
        <w:trPr>
          <w:trHeight w:val="3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78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省管地震科普教育基地运行维护经费</w:t>
            </w:r>
          </w:p>
        </w:tc>
      </w:tr>
      <w:tr>
        <w:tblPrEx>
          <w:tblLayout w:type="fixed"/>
          <w:tblCellMar>
            <w:top w:w="0" w:type="dxa"/>
            <w:left w:w="0" w:type="dxa"/>
            <w:bottom w:w="0" w:type="dxa"/>
            <w:right w:w="0" w:type="dxa"/>
          </w:tblCellMar>
        </w:tblPrEx>
        <w:trPr>
          <w:trHeight w:val="3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34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湖北省地震局本级</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项目实施单位</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震害防御处</w:t>
            </w:r>
          </w:p>
        </w:tc>
      </w:tr>
      <w:tr>
        <w:tblPrEx>
          <w:shd w:val="clear" w:color="auto" w:fill="auto"/>
          <w:tblLayout w:type="fixed"/>
          <w:tblCellMar>
            <w:top w:w="0" w:type="dxa"/>
            <w:left w:w="0" w:type="dxa"/>
            <w:bottom w:w="0" w:type="dxa"/>
            <w:right w:w="0" w:type="dxa"/>
          </w:tblCellMar>
        </w:tblPrEx>
        <w:trPr>
          <w:trHeight w:val="3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项目类别</w:t>
            </w:r>
          </w:p>
        </w:tc>
        <w:tc>
          <w:tcPr>
            <w:tcW w:w="78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 xml:space="preserve">1、部门预算项目   </w:t>
            </w:r>
            <w:r>
              <w:rPr>
                <w:rFonts w:hint="eastAsia" w:ascii="宋体" w:hAnsi="宋体" w:eastAsia="宋体" w:cs="宋体"/>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 xml:space="preserve">2、省直专项   </w:t>
            </w:r>
            <w:r>
              <w:rPr>
                <w:rFonts w:hint="eastAsia" w:ascii="宋体" w:hAnsi="宋体" w:eastAsia="宋体" w:cs="宋体"/>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 xml:space="preserve">3、省对下转移支付项目 </w:t>
            </w:r>
            <w:r>
              <w:rPr>
                <w:rFonts w:ascii="Wingdings 2" w:hAnsi="Wingdings 2" w:eastAsia="Wingdings 2" w:cs="Wingdings 2"/>
                <w:i w:val="0"/>
                <w:color w:val="000000"/>
                <w:kern w:val="0"/>
                <w:sz w:val="21"/>
                <w:szCs w:val="21"/>
                <w:u w:val="none"/>
                <w:lang w:val="en-US" w:eastAsia="zh-CN" w:bidi="ar"/>
              </w:rPr>
              <w:t>R</w:t>
            </w:r>
          </w:p>
        </w:tc>
      </w:tr>
      <w:tr>
        <w:tblPrEx>
          <w:shd w:val="clear" w:color="auto" w:fill="auto"/>
          <w:tblLayout w:type="fixed"/>
          <w:tblCellMar>
            <w:top w:w="0" w:type="dxa"/>
            <w:left w:w="0" w:type="dxa"/>
            <w:bottom w:w="0" w:type="dxa"/>
            <w:right w:w="0" w:type="dxa"/>
          </w:tblCellMar>
        </w:tblPrEx>
        <w:trPr>
          <w:trHeight w:val="3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项目属性</w:t>
            </w:r>
          </w:p>
        </w:tc>
        <w:tc>
          <w:tcPr>
            <w:tcW w:w="78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 xml:space="preserve">1、持续性项目     </w:t>
            </w:r>
            <w:r>
              <w:rPr>
                <w:rFonts w:ascii="Wingdings 2" w:hAnsi="Wingdings 2" w:eastAsia="Wingdings 2" w:cs="Wingdings 2"/>
                <w:i w:val="0"/>
                <w:color w:val="000000"/>
                <w:kern w:val="0"/>
                <w:sz w:val="21"/>
                <w:szCs w:val="21"/>
                <w:u w:val="none"/>
                <w:lang w:val="en-US" w:eastAsia="zh-CN" w:bidi="ar"/>
              </w:rPr>
              <w:t>R</w:t>
            </w:r>
            <w:r>
              <w:rPr>
                <w:rFonts w:hint="default" w:ascii="仿宋_GB2312" w:hAnsi="宋体" w:eastAsia="仿宋_GB2312" w:cs="仿宋_GB2312"/>
                <w:i w:val="0"/>
                <w:color w:val="000000"/>
                <w:kern w:val="0"/>
                <w:sz w:val="21"/>
                <w:szCs w:val="21"/>
                <w:u w:val="none"/>
                <w:lang w:val="en-US" w:eastAsia="zh-CN" w:bidi="ar"/>
              </w:rPr>
              <w:t xml:space="preserve">  2、新增性项目 </w:t>
            </w:r>
            <w:r>
              <w:rPr>
                <w:rFonts w:hint="eastAsia" w:ascii="宋体" w:hAnsi="宋体" w:eastAsia="宋体" w:cs="宋体"/>
                <w:i w:val="0"/>
                <w:color w:val="000000"/>
                <w:kern w:val="0"/>
                <w:sz w:val="21"/>
                <w:szCs w:val="21"/>
                <w:u w:val="none"/>
                <w:lang w:val="en-US" w:eastAsia="zh-CN" w:bidi="ar"/>
              </w:rPr>
              <w:t>□</w:t>
            </w:r>
          </w:p>
        </w:tc>
      </w:tr>
      <w:tr>
        <w:tblPrEx>
          <w:tblLayout w:type="fixed"/>
          <w:tblCellMar>
            <w:top w:w="0" w:type="dxa"/>
            <w:left w:w="0" w:type="dxa"/>
            <w:bottom w:w="0" w:type="dxa"/>
            <w:right w:w="0" w:type="dxa"/>
          </w:tblCellMar>
        </w:tblPrEx>
        <w:trPr>
          <w:trHeight w:val="31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项目类型</w:t>
            </w:r>
          </w:p>
        </w:tc>
        <w:tc>
          <w:tcPr>
            <w:tcW w:w="78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 xml:space="preserve">1、常年性项目     </w:t>
            </w:r>
            <w:r>
              <w:rPr>
                <w:rFonts w:hint="eastAsia" w:ascii="宋体" w:hAnsi="宋体" w:eastAsia="宋体" w:cs="宋体"/>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 xml:space="preserve">2、延续性项目 </w:t>
            </w:r>
            <w:r>
              <w:rPr>
                <w:rFonts w:hint="eastAsia" w:ascii="宋体" w:hAnsi="宋体" w:eastAsia="宋体" w:cs="宋体"/>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 xml:space="preserve">3、一次性项目   </w:t>
            </w:r>
            <w:r>
              <w:rPr>
                <w:rFonts w:ascii="Wingdings 2" w:hAnsi="Wingdings 2" w:eastAsia="Wingdings 2" w:cs="Wingdings 2"/>
                <w:i w:val="0"/>
                <w:color w:val="000000"/>
                <w:kern w:val="0"/>
                <w:sz w:val="21"/>
                <w:szCs w:val="21"/>
                <w:u w:val="none"/>
                <w:lang w:val="en-US" w:eastAsia="zh-CN" w:bidi="ar"/>
              </w:rPr>
              <w:t>R</w:t>
            </w:r>
          </w:p>
        </w:tc>
      </w:tr>
      <w:tr>
        <w:tblPrEx>
          <w:shd w:val="clear" w:color="auto" w:fill="auto"/>
          <w:tblLayout w:type="fixed"/>
          <w:tblCellMar>
            <w:top w:w="0" w:type="dxa"/>
            <w:left w:w="0" w:type="dxa"/>
            <w:bottom w:w="0" w:type="dxa"/>
            <w:right w:w="0" w:type="dxa"/>
          </w:tblCellMar>
        </w:tblPrEx>
        <w:trPr>
          <w:trHeight w:val="79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预算执行情况（万元）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预算数（A)</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执行数(B)</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执行率(B/A)</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得分（20分*执行率）</w:t>
            </w:r>
          </w:p>
        </w:tc>
      </w:tr>
      <w:tr>
        <w:tblPrEx>
          <w:tblLayout w:type="fixed"/>
          <w:tblCellMar>
            <w:top w:w="0" w:type="dxa"/>
            <w:left w:w="0" w:type="dxa"/>
            <w:bottom w:w="0" w:type="dxa"/>
            <w:right w:w="0" w:type="dxa"/>
          </w:tblCellMar>
        </w:tblPrEx>
        <w:trPr>
          <w:trHeight w:val="5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年度财政资金总额</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r>
      <w:tr>
        <w:tblPrEx>
          <w:tblLayout w:type="fixed"/>
          <w:tblCellMar>
            <w:top w:w="0" w:type="dxa"/>
            <w:left w:w="0" w:type="dxa"/>
            <w:bottom w:w="0" w:type="dxa"/>
            <w:right w:w="0" w:type="dxa"/>
          </w:tblCellMar>
        </w:tblPrEx>
        <w:trPr>
          <w:trHeight w:val="5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年初目标值（A)</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实际完成值(B)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shd w:val="clear" w:color="auto" w:fill="auto"/>
          <w:tblLayout w:type="fixed"/>
          <w:tblCellMar>
            <w:top w:w="0" w:type="dxa"/>
            <w:left w:w="0" w:type="dxa"/>
            <w:bottom w:w="0" w:type="dxa"/>
            <w:right w:w="0" w:type="dxa"/>
          </w:tblCellMar>
        </w:tblPrEx>
        <w:trPr>
          <w:trHeight w:val="5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补助防震减灾科普教育基地数量</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5个</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w:t>
            </w:r>
          </w:p>
        </w:tc>
      </w:tr>
      <w:tr>
        <w:tblPrEx>
          <w:shd w:val="clear" w:color="auto" w:fill="auto"/>
          <w:tblLayout w:type="fixed"/>
          <w:tblCellMar>
            <w:top w:w="0" w:type="dxa"/>
            <w:left w:w="0" w:type="dxa"/>
            <w:bottom w:w="0" w:type="dxa"/>
            <w:right w:w="0" w:type="dxa"/>
          </w:tblCellMar>
        </w:tblPrEx>
        <w:trPr>
          <w:trHeight w:val="5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社会效益指标</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增强公众的防震减灾意识和能力</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扩大防震减灾科普宣传的受众面，使防震减灾科普教育基地成为社会公众特别是青少年学习防震减灾知识的场所。</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扩大防震减灾科普宣传的受众面，使防震减灾科普教育基地成为社会公众特别是青少年学习防震减灾知识的场所。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r>
      <w:tr>
        <w:tblPrEx>
          <w:tblLayout w:type="fixed"/>
          <w:tblCellMar>
            <w:top w:w="0" w:type="dxa"/>
            <w:left w:w="0" w:type="dxa"/>
            <w:bottom w:w="0" w:type="dxa"/>
            <w:right w:w="0" w:type="dxa"/>
          </w:tblCellMar>
        </w:tblPrEx>
        <w:trPr>
          <w:trHeight w:val="5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具体指标</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10" w:firstLineChars="10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参观科普教育基地观众满意度</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90%以上</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95.47%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r>
      <w:tr>
        <w:tblPrEx>
          <w:tblLayout w:type="fixed"/>
          <w:tblCellMar>
            <w:top w:w="0" w:type="dxa"/>
            <w:left w:w="0" w:type="dxa"/>
            <w:bottom w:w="0" w:type="dxa"/>
            <w:right w:w="0" w:type="dxa"/>
          </w:tblCellMar>
        </w:tblPrEx>
        <w:trPr>
          <w:trHeight w:val="700" w:hRule="atLeast"/>
        </w:trPr>
        <w:tc>
          <w:tcPr>
            <w:tcW w:w="89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1.预算执行情况口径：预算数为调整后财政资金总额（包括上年结余结转），执行数为资金使用单位财政资金实际支出数。</w:t>
            </w:r>
          </w:p>
        </w:tc>
      </w:tr>
      <w:tr>
        <w:tblPrEx>
          <w:tblLayout w:type="fixed"/>
          <w:tblCellMar>
            <w:top w:w="0" w:type="dxa"/>
            <w:left w:w="0" w:type="dxa"/>
            <w:bottom w:w="0" w:type="dxa"/>
            <w:right w:w="0" w:type="dxa"/>
          </w:tblCellMar>
        </w:tblPrEx>
        <w:trPr>
          <w:trHeight w:val="1040" w:hRule="atLeast"/>
        </w:trPr>
        <w:tc>
          <w:tcPr>
            <w:tcW w:w="89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2.定量指标完成数汇总原则：绝对值直接累加计算，相对值按照资金额度加权平均计算。定量指标计分原则：正向指标（即目标值为</w:t>
            </w:r>
            <w:r>
              <w:rPr>
                <w:rFonts w:hint="eastAsia" w:ascii="宋体" w:hAnsi="宋体" w:eastAsia="宋体" w:cs="宋体"/>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X,得分=权重*B/A），反向指标（即目标值为</w:t>
            </w:r>
            <w:r>
              <w:rPr>
                <w:rFonts w:hint="eastAsia" w:ascii="宋体" w:hAnsi="宋体" w:eastAsia="宋体" w:cs="宋体"/>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X，得分=权重*A/B)，得分不得突破权重总额。定量指标先汇总完成数，再计算得分。</w:t>
            </w:r>
          </w:p>
        </w:tc>
      </w:tr>
      <w:tr>
        <w:tblPrEx>
          <w:tblLayout w:type="fixed"/>
          <w:tblCellMar>
            <w:top w:w="0" w:type="dxa"/>
            <w:left w:w="0" w:type="dxa"/>
            <w:bottom w:w="0" w:type="dxa"/>
            <w:right w:w="0" w:type="dxa"/>
          </w:tblCellMar>
        </w:tblPrEx>
        <w:trPr>
          <w:trHeight w:val="920" w:hRule="atLeast"/>
        </w:trPr>
        <w:tc>
          <w:tcPr>
            <w:tcW w:w="89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2019-08-15T09:23:12Z</dcterms:created>
  <dc:creator>hedia</dc:creator>
  <cp:lastModifiedBy>hedia</cp:lastModifiedBy>
  <dcterms:modified xsi:type="dcterms:W3CDTF">2019-08-15T09:23:25Z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